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6F1579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Revitalizace centra Městské památkové zóny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6F1579">
              <w:rPr>
                <w:rFonts w:asciiTheme="minorHAnsi" w:hAnsiTheme="minorHAnsi"/>
                <w:sz w:val="22"/>
                <w:szCs w:val="22"/>
              </w:rPr>
              <w:t>P17V00000016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6F1579" w:rsidRPr="006F1579">
        <w:rPr>
          <w:rFonts w:asciiTheme="minorHAnsi" w:hAnsiTheme="minorHAnsi" w:cs="Arial"/>
          <w:b/>
          <w:sz w:val="22"/>
          <w:szCs w:val="22"/>
        </w:rPr>
        <w:t>Revitalizace centra Městské památkové zóny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bookmarkStart w:id="0" w:name="_GoBack"/>
      <w:bookmarkEnd w:id="0"/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157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157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D19C-0D93-4D54-833E-62B70CBE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5</cp:revision>
  <cp:lastPrinted>2017-02-15T08:41:00Z</cp:lastPrinted>
  <dcterms:created xsi:type="dcterms:W3CDTF">2017-02-19T10:01:00Z</dcterms:created>
  <dcterms:modified xsi:type="dcterms:W3CDTF">2017-05-17T12:29:00Z</dcterms:modified>
</cp:coreProperties>
</file>